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default" w:ascii="黑体" w:hAnsi="黑体" w:eastAsia="黑体" w:cs="黑体"/>
          <w:bCs/>
          <w:spacing w:val="10"/>
          <w:kern w:val="2"/>
          <w:sz w:val="32"/>
          <w:szCs w:val="32"/>
          <w:lang w:val="en-US" w:eastAsia="zh-CN" w:bidi="ar-SA"/>
        </w:rPr>
      </w:pPr>
      <w:bookmarkStart w:id="0" w:name="_GoBack"/>
      <w:bookmarkEnd w:id="0"/>
      <w:r>
        <w:rPr>
          <w:rFonts w:hint="eastAsia" w:ascii="黑体" w:hAnsi="黑体" w:eastAsia="黑体" w:cs="黑体"/>
          <w:bCs/>
          <w:spacing w:val="10"/>
          <w:kern w:val="2"/>
          <w:sz w:val="32"/>
          <w:szCs w:val="32"/>
          <w:lang w:val="en-US" w:eastAsia="zh-CN" w:bidi="ar-SA"/>
        </w:rPr>
        <w:t>附件3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新闻信息采集志愿队伍培训服务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评分办法及评分标准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b/>
          <w:bCs/>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为公正、公平、科学地选择中标供应商，根据《中华人民共和国政府采购法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政府采购货物和服务招标投标管理办法》及相关法律法规等规定，并结合本项目的实际，制定本办法。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本办法适用于新闻信息采集志愿队伍培训服务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一、总则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采用综合评分法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商务评分满分为35分，</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lang w:val="en-US" w:eastAsia="zh-CN"/>
        </w:rPr>
        <w:t>评分满分为50分，价格评分满分为15分。</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人的</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得分为各项目汇总得分，按评</w:t>
      </w:r>
      <w:r>
        <w:rPr>
          <w:rFonts w:hint="eastAsia" w:ascii="仿宋_GB2312" w:hAnsi="仿宋_GB2312" w:eastAsia="仿宋_GB2312" w:cs="仿宋_GB2312"/>
          <w:sz w:val="32"/>
          <w:szCs w:val="32"/>
          <w:lang w:val="en-US" w:eastAsia="zh-CN"/>
        </w:rPr>
        <w:t>选</w:t>
      </w:r>
      <w:r>
        <w:rPr>
          <w:rFonts w:hint="eastAsia" w:ascii="仿宋_GB2312" w:hAnsi="仿宋_GB2312" w:eastAsia="仿宋_GB2312" w:cs="仿宋_GB2312"/>
          <w:sz w:val="32"/>
          <w:szCs w:val="32"/>
        </w:rPr>
        <w:t>得分由高到低顺序排列，得分相同的，按</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报价由低到高顺序排列；得分且</w:t>
      </w:r>
      <w:r>
        <w:rPr>
          <w:rFonts w:hint="eastAsia" w:ascii="仿宋_GB2312" w:hAnsi="仿宋_GB2312" w:eastAsia="仿宋_GB2312" w:cs="仿宋_GB2312"/>
          <w:sz w:val="32"/>
          <w:szCs w:val="32"/>
          <w:lang w:val="en-US" w:eastAsia="zh-CN"/>
        </w:rPr>
        <w:t>比选</w:t>
      </w:r>
      <w:r>
        <w:rPr>
          <w:rFonts w:hint="eastAsia" w:ascii="仿宋_GB2312" w:hAnsi="仿宋_GB2312" w:eastAsia="仿宋_GB2312" w:cs="仿宋_GB2312"/>
          <w:sz w:val="32"/>
          <w:szCs w:val="32"/>
        </w:rPr>
        <w:t>报价相同的，按技术得分由高到低顺序排列。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二、评标内容及标准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本项目由采购人授权</w:t>
      </w: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委员会直接确定对应</w:t>
      </w:r>
      <w:r>
        <w:rPr>
          <w:rFonts w:hint="eastAsia" w:ascii="仿宋_GB2312" w:hAnsi="仿宋_GB2312" w:eastAsia="仿宋_GB2312" w:cs="仿宋_GB2312"/>
          <w:sz w:val="32"/>
          <w:szCs w:val="32"/>
          <w:lang w:val="en-US" w:eastAsia="zh-CN"/>
        </w:rPr>
        <w:t>比选项目</w:t>
      </w:r>
      <w:r>
        <w:rPr>
          <w:rFonts w:hint="eastAsia" w:ascii="仿宋_GB2312" w:hAnsi="仿宋_GB2312" w:eastAsia="仿宋_GB2312" w:cs="仿宋_GB2312"/>
          <w:sz w:val="32"/>
          <w:szCs w:val="32"/>
        </w:rPr>
        <w:t>排名第一的供应商为中</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价格分采用低价优先法计算，即满足</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文件要求且</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价格最低的</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报价为评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基准价，其他供应商的价格分按照下列公式计算：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价格分=(评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基准价/</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val="en-US" w:eastAsia="zh-CN"/>
        </w:rPr>
        <w:t>价格分值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委员会认为供应商的报价明显低于其他通过符合性审查供应商的报价，有可能影响产品质量</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不能诚信履约的，应当要求供应商书面说明并提供相关证明材料。供应商不能当场合理说明原因并提供证明材料的，评</w:t>
      </w:r>
      <w:r>
        <w:rPr>
          <w:rFonts w:hint="eastAsia" w:ascii="仿宋_GB2312" w:hAnsi="仿宋_GB2312" w:eastAsia="仿宋_GB2312" w:cs="仿宋_GB2312"/>
          <w:sz w:val="32"/>
          <w:szCs w:val="32"/>
          <w:highlight w:val="none"/>
          <w:lang w:val="en-US" w:eastAsia="zh-CN"/>
        </w:rPr>
        <w:t>选</w:t>
      </w:r>
      <w:r>
        <w:rPr>
          <w:rFonts w:hint="eastAsia" w:ascii="仿宋_GB2312" w:hAnsi="仿宋_GB2312" w:eastAsia="仿宋_GB2312" w:cs="仿宋_GB2312"/>
          <w:sz w:val="32"/>
          <w:szCs w:val="32"/>
          <w:highlight w:val="none"/>
        </w:rPr>
        <w:t>委员会应将该供应商的响应文件作无效处理，并在评审报告中说明。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参选人排名得分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w:t>
      </w:r>
      <w:r>
        <w:rPr>
          <w:rFonts w:hint="eastAsia" w:ascii="仿宋_GB2312" w:hAnsi="仿宋_GB2312" w:eastAsia="仿宋_GB2312" w:cs="仿宋_GB2312"/>
          <w:sz w:val="32"/>
          <w:szCs w:val="32"/>
          <w:highlight w:val="none"/>
        </w:rPr>
        <w:t>人评</w:t>
      </w:r>
      <w:r>
        <w:rPr>
          <w:rFonts w:hint="eastAsia" w:ascii="仿宋_GB2312" w:hAnsi="仿宋_GB2312" w:eastAsia="仿宋_GB2312" w:cs="仿宋_GB2312"/>
          <w:sz w:val="32"/>
          <w:szCs w:val="32"/>
          <w:highlight w:val="none"/>
          <w:lang w:val="en-US" w:eastAsia="zh-CN"/>
        </w:rPr>
        <w:t>选项目</w:t>
      </w:r>
      <w:r>
        <w:rPr>
          <w:rFonts w:hint="eastAsia" w:ascii="仿宋_GB2312" w:hAnsi="仿宋_GB2312" w:eastAsia="仿宋_GB2312" w:cs="仿宋_GB2312"/>
          <w:sz w:val="32"/>
          <w:szCs w:val="32"/>
          <w:highlight w:val="none"/>
        </w:rPr>
        <w:t>得分=</w:t>
      </w:r>
      <w:r>
        <w:rPr>
          <w:rFonts w:hint="eastAsia" w:ascii="仿宋_GB2312" w:hAnsi="仿宋_GB2312" w:eastAsia="仿宋_GB2312" w:cs="仿宋_GB2312"/>
          <w:sz w:val="32"/>
          <w:szCs w:val="32"/>
          <w:highlight w:val="none"/>
          <w:lang w:eastAsia="zh-CN"/>
        </w:rPr>
        <w:t>技术分</w:t>
      </w:r>
      <w:r>
        <w:rPr>
          <w:rFonts w:hint="eastAsia" w:ascii="仿宋_GB2312" w:hAnsi="仿宋_GB2312" w:eastAsia="仿宋_GB2312" w:cs="仿宋_GB2312"/>
          <w:sz w:val="32"/>
          <w:szCs w:val="32"/>
          <w:highlight w:val="none"/>
          <w:lang w:val="en-US" w:eastAsia="zh-CN"/>
        </w:rPr>
        <w:t>+商务分+价格分。参选人排名得分</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比选</w:t>
      </w:r>
      <w:r>
        <w:rPr>
          <w:rFonts w:hint="eastAsia" w:ascii="仿宋_GB2312" w:hAnsi="仿宋_GB2312" w:eastAsia="仿宋_GB2312" w:cs="仿宋_GB2312"/>
          <w:sz w:val="32"/>
          <w:szCs w:val="32"/>
          <w:highlight w:val="none"/>
        </w:rPr>
        <w:t>委员会成员的独立评分结果汇总数的算术平均分计算，计算公式为：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参选人排名得分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评选</w:t>
      </w:r>
      <w:r>
        <w:rPr>
          <w:rFonts w:hint="eastAsia" w:ascii="仿宋_GB2312" w:hAnsi="仿宋_GB2312" w:eastAsia="仿宋_GB2312" w:cs="仿宋_GB2312"/>
          <w:sz w:val="32"/>
          <w:szCs w:val="32"/>
          <w:highlight w:val="none"/>
        </w:rPr>
        <w:t>委员会所有成员评分合计数)/(评标委员会组成人员数)</w:t>
      </w: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pPr>
    </w:p>
    <w:p>
      <w:pPr>
        <w:pStyle w:val="14"/>
        <w:jc w:val="both"/>
        <w:rPr>
          <w:rFonts w:hint="default" w:ascii="仿宋_GB2312" w:hAnsi="黑体" w:eastAsia="仿宋_GB2312" w:cs="仿宋_GB2312"/>
          <w:bCs w:val="0"/>
          <w:spacing w:val="0"/>
          <w:kern w:val="2"/>
          <w:sz w:val="32"/>
          <w:szCs w:val="32"/>
          <w:lang w:val="en-US" w:eastAsia="zh-CN" w:bidi="ar-SA"/>
        </w:rPr>
        <w:sectPr>
          <w:footerReference r:id="rId3" w:type="default"/>
          <w:pgSz w:w="11906" w:h="16838"/>
          <w:pgMar w:top="2154" w:right="1531" w:bottom="2041" w:left="1531" w:header="851" w:footer="992" w:gutter="0"/>
          <w:pgNumType w:fmt="numberInDash"/>
          <w:cols w:space="425" w:num="1"/>
          <w:docGrid w:type="lines" w:linePitch="312" w:charSpace="0"/>
        </w:sect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rPr>
        <w:t>评分</w:t>
      </w:r>
      <w:r>
        <w:rPr>
          <w:rFonts w:hint="eastAsia" w:ascii="方正小标宋简体" w:hAnsi="方正小标宋简体" w:eastAsia="方正小标宋简体" w:cs="方正小标宋简体"/>
          <w:b w:val="0"/>
          <w:bCs w:val="0"/>
          <w:sz w:val="40"/>
          <w:szCs w:val="40"/>
          <w:lang w:eastAsia="zh-CN"/>
        </w:rPr>
        <w:t>内容及标准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b w:val="0"/>
          <w:bCs w:val="0"/>
          <w:sz w:val="40"/>
          <w:szCs w:val="40"/>
          <w:lang w:eastAsia="zh-CN"/>
        </w:rPr>
      </w:pPr>
    </w:p>
    <w:tbl>
      <w:tblPr>
        <w:tblStyle w:val="8"/>
        <w:tblW w:w="97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900"/>
        <w:gridCol w:w="6123"/>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93" w:type="dxa"/>
            <w:tcBorders>
              <w:top w:val="single" w:color="auto" w:sz="12" w:space="0"/>
              <w:left w:val="single" w:color="auto" w:sz="12" w:space="0"/>
              <w:bottom w:val="single" w:color="auto" w:sz="6" w:space="0"/>
              <w:right w:val="single" w:color="auto" w:sz="6"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序号</w:t>
            </w:r>
          </w:p>
        </w:tc>
        <w:tc>
          <w:tcPr>
            <w:tcW w:w="1900" w:type="dxa"/>
            <w:tcBorders>
              <w:top w:val="single" w:color="auto" w:sz="12" w:space="0"/>
              <w:left w:val="single" w:color="auto" w:sz="6" w:space="0"/>
              <w:bottom w:val="single" w:color="auto" w:sz="6" w:space="0"/>
              <w:right w:val="single" w:color="auto" w:sz="6"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评审因素</w:t>
            </w:r>
          </w:p>
        </w:tc>
        <w:tc>
          <w:tcPr>
            <w:tcW w:w="6123" w:type="dxa"/>
            <w:tcBorders>
              <w:top w:val="single" w:color="auto" w:sz="12" w:space="0"/>
              <w:left w:val="single" w:color="auto" w:sz="6" w:space="0"/>
              <w:bottom w:val="single" w:color="auto" w:sz="6" w:space="0"/>
              <w:right w:val="single" w:color="auto" w:sz="6"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评分细则</w:t>
            </w:r>
          </w:p>
        </w:tc>
        <w:tc>
          <w:tcPr>
            <w:tcW w:w="900" w:type="dxa"/>
            <w:tcBorders>
              <w:top w:val="single" w:color="auto" w:sz="12" w:space="0"/>
              <w:left w:val="single" w:color="auto" w:sz="6"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分值</w:t>
            </w:r>
          </w:p>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cs="宋体"/>
                <w:b/>
                <w:sz w:val="24"/>
              </w:rPr>
              <w:t>一</w:t>
            </w:r>
          </w:p>
        </w:tc>
        <w:tc>
          <w:tcPr>
            <w:tcW w:w="892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b/>
                <w:sz w:val="24"/>
              </w:rPr>
              <w:t>技术部分（合计</w:t>
            </w:r>
            <w:r>
              <w:rPr>
                <w:rFonts w:hint="eastAsia" w:ascii="宋体" w:hAnsi="宋体"/>
                <w:b/>
                <w:sz w:val="24"/>
                <w:lang w:val="en-US" w:eastAsia="zh-CN"/>
              </w:rPr>
              <w:t>50</w:t>
            </w:r>
            <w:r>
              <w:rPr>
                <w:rFonts w:hint="eastAsia" w:ascii="宋体" w:hAnsi="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numPr>
                <w:ilvl w:val="0"/>
                <w:numId w:val="2"/>
              </w:numPr>
              <w:snapToGrid w:val="0"/>
              <w:spacing w:line="288" w:lineRule="auto"/>
              <w:jc w:val="center"/>
              <w:rPr>
                <w:rFonts w:ascii="宋体" w:hAnsi="宋体"/>
                <w:sz w:val="24"/>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jc w:val="center"/>
              <w:rPr>
                <w:rFonts w:hint="eastAsia" w:ascii="宋体" w:hAnsi="宋体" w:cs="宋体"/>
                <w:sz w:val="24"/>
              </w:rPr>
            </w:pPr>
            <w:r>
              <w:rPr>
                <w:rFonts w:hint="eastAsia" w:ascii="宋体" w:hAnsi="宋体" w:cs="宋体"/>
                <w:sz w:val="24"/>
              </w:rPr>
              <w:t>项目总体计划</w:t>
            </w:r>
          </w:p>
        </w:tc>
        <w:tc>
          <w:tcPr>
            <w:tcW w:w="6123"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rPr>
                <w:rFonts w:ascii="宋体" w:hAnsi="宋体"/>
                <w:sz w:val="24"/>
              </w:rPr>
            </w:pPr>
            <w:r>
              <w:rPr>
                <w:rFonts w:hint="eastAsia" w:ascii="宋体" w:hAnsi="宋体"/>
                <w:sz w:val="24"/>
              </w:rPr>
              <w:t>项目总体计划（包括但不限于</w:t>
            </w:r>
            <w:r>
              <w:rPr>
                <w:rFonts w:hint="eastAsia" w:ascii="宋体" w:hAnsi="宋体"/>
                <w:sz w:val="24"/>
                <w:lang w:val="en-US" w:eastAsia="zh-CN"/>
              </w:rPr>
              <w:t>培训</w:t>
            </w:r>
            <w:r>
              <w:rPr>
                <w:rFonts w:hint="eastAsia" w:ascii="宋体" w:hAnsi="宋体"/>
                <w:sz w:val="24"/>
              </w:rPr>
              <w:t>对象、</w:t>
            </w:r>
            <w:r>
              <w:rPr>
                <w:rFonts w:hint="eastAsia" w:ascii="宋体" w:hAnsi="宋体"/>
                <w:sz w:val="24"/>
                <w:lang w:val="en-US" w:eastAsia="zh-CN"/>
              </w:rPr>
              <w:t>培训</w:t>
            </w:r>
            <w:r>
              <w:rPr>
                <w:rFonts w:hint="eastAsia" w:ascii="宋体" w:hAnsi="宋体"/>
                <w:sz w:val="24"/>
              </w:rPr>
              <w:t>目标、</w:t>
            </w:r>
            <w:r>
              <w:rPr>
                <w:rFonts w:hint="eastAsia" w:ascii="宋体" w:hAnsi="宋体"/>
                <w:sz w:val="24"/>
                <w:lang w:val="en-US" w:eastAsia="zh-CN"/>
              </w:rPr>
              <w:t>培训</w:t>
            </w:r>
            <w:r>
              <w:rPr>
                <w:rFonts w:hint="eastAsia" w:ascii="宋体" w:hAnsi="宋体"/>
                <w:sz w:val="24"/>
              </w:rPr>
              <w:t>方式等方面）：</w:t>
            </w:r>
          </w:p>
          <w:p>
            <w:pPr>
              <w:snapToGrid w:val="0"/>
              <w:spacing w:line="288" w:lineRule="auto"/>
              <w:rPr>
                <w:rFonts w:ascii="宋体" w:hAnsi="宋体"/>
                <w:sz w:val="24"/>
              </w:rPr>
            </w:pPr>
            <w:r>
              <w:rPr>
                <w:rFonts w:hint="eastAsia" w:ascii="宋体" w:hAnsi="宋体"/>
                <w:sz w:val="24"/>
              </w:rPr>
              <w:t>项目总体计划明确，合理性强，符合</w:t>
            </w:r>
            <w:r>
              <w:rPr>
                <w:rFonts w:hint="eastAsia" w:ascii="宋体" w:hAnsi="宋体"/>
                <w:sz w:val="24"/>
                <w:lang w:val="en-US" w:eastAsia="zh-CN"/>
              </w:rPr>
              <w:t>培训要求</w:t>
            </w:r>
            <w:r>
              <w:rPr>
                <w:rFonts w:hint="eastAsia" w:ascii="宋体" w:hAnsi="宋体"/>
                <w:sz w:val="24"/>
              </w:rPr>
              <w:t>，可行性强，得</w:t>
            </w:r>
            <w:r>
              <w:rPr>
                <w:rFonts w:hint="eastAsia" w:ascii="宋体" w:hAnsi="宋体"/>
                <w:sz w:val="24"/>
                <w:lang w:val="en-US" w:eastAsia="zh-CN"/>
              </w:rPr>
              <w:t>10—15</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项目总体计划较为明确，具有一定的合理性，</w:t>
            </w:r>
            <w:r>
              <w:rPr>
                <w:rFonts w:hint="eastAsia" w:ascii="宋体" w:hAnsi="宋体"/>
                <w:sz w:val="24"/>
                <w:lang w:val="en-US" w:eastAsia="zh-CN"/>
              </w:rPr>
              <w:t>较</w:t>
            </w:r>
            <w:r>
              <w:rPr>
                <w:rFonts w:hint="eastAsia" w:ascii="宋体" w:hAnsi="宋体"/>
                <w:sz w:val="24"/>
              </w:rPr>
              <w:t>符合</w:t>
            </w:r>
            <w:r>
              <w:rPr>
                <w:rFonts w:hint="eastAsia" w:ascii="宋体" w:hAnsi="宋体"/>
                <w:sz w:val="24"/>
                <w:lang w:val="en-US" w:eastAsia="zh-CN"/>
              </w:rPr>
              <w:t>培训要求</w:t>
            </w:r>
            <w:r>
              <w:rPr>
                <w:rFonts w:hint="eastAsia" w:ascii="宋体" w:hAnsi="宋体"/>
                <w:sz w:val="24"/>
              </w:rPr>
              <w:t>，项目总体计划较可行，得</w:t>
            </w:r>
            <w:r>
              <w:rPr>
                <w:rFonts w:hint="eastAsia" w:ascii="宋体" w:hAnsi="宋体"/>
                <w:sz w:val="24"/>
                <w:lang w:val="en-US" w:eastAsia="zh-CN"/>
              </w:rPr>
              <w:t>5—9</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项目总体计划不够明确，不够符合</w:t>
            </w:r>
            <w:r>
              <w:rPr>
                <w:rFonts w:hint="eastAsia" w:ascii="宋体" w:hAnsi="宋体"/>
                <w:sz w:val="24"/>
                <w:lang w:val="en-US" w:eastAsia="zh-CN"/>
              </w:rPr>
              <w:t>培训要求</w:t>
            </w:r>
            <w:r>
              <w:rPr>
                <w:rFonts w:hint="eastAsia" w:ascii="宋体" w:hAnsi="宋体"/>
                <w:sz w:val="24"/>
              </w:rPr>
              <w:t>，但有合理性，项目总体计划可行性低，得</w:t>
            </w:r>
            <w:r>
              <w:rPr>
                <w:rFonts w:hint="eastAsia" w:ascii="宋体" w:hAnsi="宋体"/>
                <w:sz w:val="24"/>
                <w:lang w:val="en-US" w:eastAsia="zh-CN"/>
              </w:rPr>
              <w:t>1—4</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其它或无得0分。</w:t>
            </w:r>
          </w:p>
        </w:tc>
        <w:tc>
          <w:tcPr>
            <w:tcW w:w="90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numPr>
                <w:ilvl w:val="0"/>
                <w:numId w:val="2"/>
              </w:numPr>
              <w:snapToGrid w:val="0"/>
              <w:spacing w:line="288" w:lineRule="auto"/>
              <w:jc w:val="center"/>
              <w:rPr>
                <w:rFonts w:ascii="宋体" w:hAnsi="宋体"/>
                <w:sz w:val="24"/>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jc w:val="center"/>
              <w:rPr>
                <w:rFonts w:ascii="宋体" w:hAnsi="宋体" w:cs="宋体"/>
                <w:sz w:val="24"/>
              </w:rPr>
            </w:pPr>
            <w:r>
              <w:rPr>
                <w:rFonts w:hint="eastAsia" w:ascii="宋体" w:hAnsi="宋体" w:cs="宋体"/>
                <w:sz w:val="24"/>
              </w:rPr>
              <w:t>服务开展方案</w:t>
            </w:r>
          </w:p>
        </w:tc>
        <w:tc>
          <w:tcPr>
            <w:tcW w:w="6123"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rPr>
                <w:rFonts w:ascii="宋体" w:hAnsi="宋体"/>
                <w:sz w:val="24"/>
              </w:rPr>
            </w:pPr>
            <w:r>
              <w:rPr>
                <w:rFonts w:hint="eastAsia" w:ascii="宋体" w:hAnsi="宋体"/>
                <w:sz w:val="24"/>
              </w:rPr>
              <w:t>服务开展方案包含但不限于以下内容：</w:t>
            </w:r>
          </w:p>
          <w:p>
            <w:pPr>
              <w:snapToGrid w:val="0"/>
              <w:spacing w:line="288" w:lineRule="auto"/>
              <w:rPr>
                <w:rFonts w:ascii="宋体" w:hAnsi="宋体"/>
                <w:sz w:val="24"/>
              </w:rPr>
            </w:pPr>
            <w:r>
              <w:rPr>
                <w:rFonts w:ascii="宋体" w:hAnsi="宋体"/>
                <w:sz w:val="24"/>
              </w:rPr>
              <w:t>1</w:t>
            </w:r>
            <w:r>
              <w:rPr>
                <w:rFonts w:hint="eastAsia" w:ascii="宋体" w:hAnsi="宋体"/>
                <w:sz w:val="24"/>
              </w:rPr>
              <w:t>、</w:t>
            </w:r>
            <w:r>
              <w:rPr>
                <w:rFonts w:hint="eastAsia" w:ascii="宋体" w:hAnsi="宋体"/>
                <w:sz w:val="24"/>
                <w:lang w:val="en-US" w:eastAsia="zh-CN"/>
              </w:rPr>
              <w:t>明确的培训时间规划</w:t>
            </w:r>
            <w:r>
              <w:rPr>
                <w:rFonts w:hint="eastAsia" w:ascii="宋体" w:hAnsi="宋体"/>
                <w:sz w:val="24"/>
              </w:rPr>
              <w:t>；</w:t>
            </w:r>
          </w:p>
          <w:p>
            <w:pPr>
              <w:snapToGrid w:val="0"/>
              <w:spacing w:line="288" w:lineRule="auto"/>
              <w:rPr>
                <w:rFonts w:ascii="宋体" w:hAnsi="宋体"/>
                <w:sz w:val="24"/>
              </w:rPr>
            </w:pPr>
            <w:r>
              <w:rPr>
                <w:rFonts w:hint="eastAsia"/>
                <w:sz w:val="24"/>
              </w:rPr>
              <w:t>2、</w:t>
            </w:r>
            <w:r>
              <w:rPr>
                <w:rFonts w:hint="eastAsia"/>
                <w:sz w:val="24"/>
                <w:lang w:val="en-US" w:eastAsia="zh-CN"/>
              </w:rPr>
              <w:t>科学、合理、有效地培训形式</w:t>
            </w:r>
            <w:r>
              <w:rPr>
                <w:rFonts w:hint="eastAsia" w:ascii="宋体" w:hAnsi="宋体"/>
                <w:sz w:val="24"/>
              </w:rPr>
              <w:t>；</w:t>
            </w:r>
          </w:p>
          <w:p>
            <w:pPr>
              <w:snapToGrid w:val="0"/>
              <w:spacing w:line="288" w:lineRule="auto"/>
              <w:rPr>
                <w:rFonts w:ascii="宋体" w:hAnsi="宋体"/>
                <w:sz w:val="24"/>
              </w:rPr>
            </w:pPr>
            <w:r>
              <w:rPr>
                <w:rFonts w:hint="eastAsia" w:ascii="宋体" w:hAnsi="宋体"/>
                <w:sz w:val="24"/>
              </w:rPr>
              <w:t>3、资深时政记者、摄影记者以及新媒体编辑带队；</w:t>
            </w:r>
          </w:p>
          <w:p>
            <w:pPr>
              <w:snapToGrid w:val="0"/>
              <w:spacing w:line="288" w:lineRule="auto"/>
              <w:rPr>
                <w:rFonts w:ascii="宋体" w:hAnsi="宋体"/>
                <w:sz w:val="24"/>
              </w:rPr>
            </w:pPr>
            <w:r>
              <w:rPr>
                <w:rFonts w:hint="eastAsia" w:ascii="宋体" w:hAnsi="宋体"/>
                <w:sz w:val="24"/>
              </w:rPr>
              <w:t>4、</w:t>
            </w:r>
            <w:r>
              <w:rPr>
                <w:rFonts w:hint="eastAsia" w:ascii="宋体" w:hAnsi="宋体"/>
                <w:sz w:val="24"/>
                <w:lang w:val="en-US" w:eastAsia="zh-CN"/>
              </w:rPr>
              <w:t>至少</w:t>
            </w:r>
            <w:r>
              <w:rPr>
                <w:rFonts w:hint="eastAsia" w:ascii="宋体" w:hAnsi="宋体"/>
                <w:sz w:val="24"/>
              </w:rPr>
              <w:t>三个宣传重点；</w:t>
            </w:r>
          </w:p>
          <w:p>
            <w:pPr>
              <w:snapToGrid w:val="0"/>
              <w:spacing w:line="288" w:lineRule="auto"/>
              <w:rPr>
                <w:rFonts w:ascii="宋体" w:hAnsi="宋体"/>
                <w:sz w:val="24"/>
              </w:rPr>
            </w:pPr>
            <w:r>
              <w:rPr>
                <w:rFonts w:hint="eastAsia" w:ascii="宋体" w:hAnsi="宋体"/>
                <w:sz w:val="24"/>
              </w:rPr>
              <w:t>5、</w:t>
            </w:r>
            <w:r>
              <w:rPr>
                <w:rFonts w:hint="eastAsia" w:ascii="宋体" w:hAnsi="宋体"/>
                <w:sz w:val="24"/>
                <w:lang w:val="en-US" w:eastAsia="zh-CN"/>
              </w:rPr>
              <w:t>完成重点采写后，通过</w:t>
            </w:r>
            <w:r>
              <w:rPr>
                <w:rFonts w:hint="eastAsia" w:ascii="宋体" w:hAnsi="宋体"/>
                <w:sz w:val="24"/>
              </w:rPr>
              <w:t>邀请媒体设置专题专栏、成果汇编手册</w:t>
            </w:r>
            <w:r>
              <w:rPr>
                <w:rFonts w:hint="eastAsia" w:ascii="宋体" w:hAnsi="宋体"/>
                <w:sz w:val="24"/>
                <w:lang w:val="en-US" w:eastAsia="zh-CN"/>
              </w:rPr>
              <w:t>等形式，集纳新闻宣传成果</w:t>
            </w:r>
            <w:r>
              <w:rPr>
                <w:rFonts w:hint="eastAsia" w:ascii="宋体" w:hAnsi="宋体"/>
                <w:sz w:val="24"/>
              </w:rPr>
              <w:t>；</w:t>
            </w:r>
          </w:p>
          <w:p>
            <w:pPr>
              <w:snapToGrid w:val="0"/>
              <w:spacing w:line="288" w:lineRule="auto"/>
              <w:rPr>
                <w:rFonts w:ascii="宋体" w:hAnsi="宋体"/>
                <w:sz w:val="24"/>
              </w:rPr>
            </w:pPr>
            <w:r>
              <w:rPr>
                <w:rFonts w:hint="eastAsia" w:ascii="宋体" w:hAnsi="宋体"/>
                <w:sz w:val="24"/>
              </w:rPr>
              <w:t>6、开展培训结营总结会；</w:t>
            </w:r>
          </w:p>
          <w:p>
            <w:pPr>
              <w:snapToGrid w:val="0"/>
              <w:spacing w:line="288" w:lineRule="auto"/>
              <w:rPr>
                <w:rFonts w:ascii="宋体" w:hAnsi="宋体"/>
                <w:sz w:val="24"/>
              </w:rPr>
            </w:pPr>
            <w:r>
              <w:rPr>
                <w:rFonts w:hint="eastAsia" w:ascii="宋体" w:hAnsi="宋体"/>
                <w:sz w:val="24"/>
              </w:rPr>
              <w:t>服务开展方案涵盖以上内容齐全，具体措施、服务计划科学、合理、可行性高，得</w:t>
            </w:r>
            <w:r>
              <w:rPr>
                <w:rFonts w:hint="eastAsia" w:ascii="宋体" w:hAnsi="宋体"/>
                <w:sz w:val="24"/>
                <w:lang w:val="en-US" w:eastAsia="zh-CN"/>
              </w:rPr>
              <w:t>15—20</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服务开展方案涵盖以上内容较齐全，具体措施、服务计划较科学、较合理、可行性较高，得</w:t>
            </w:r>
            <w:r>
              <w:rPr>
                <w:rFonts w:hint="eastAsia" w:ascii="宋体" w:hAnsi="宋体"/>
                <w:sz w:val="24"/>
                <w:lang w:val="en-US" w:eastAsia="zh-CN"/>
              </w:rPr>
              <w:t>10—14</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服务开展方案涵盖以上内容基本齐全，具体措施基本科学、服务计划有一定的合理性及可行性，得</w:t>
            </w:r>
            <w:r>
              <w:rPr>
                <w:rFonts w:hint="eastAsia" w:ascii="宋体" w:hAnsi="宋体"/>
                <w:sz w:val="24"/>
                <w:lang w:val="en-US" w:eastAsia="zh-CN"/>
              </w:rPr>
              <w:t>5—9</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服务开展方案涵盖以上内容较少，具体措施、服务计划不够合理、可行性较低，得</w:t>
            </w:r>
            <w:r>
              <w:rPr>
                <w:rFonts w:hint="eastAsia" w:ascii="宋体" w:hAnsi="宋体"/>
                <w:sz w:val="24"/>
                <w:lang w:val="en-US" w:eastAsia="zh-CN"/>
              </w:rPr>
              <w:t>1—4</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无或其他不得分。</w:t>
            </w:r>
          </w:p>
        </w:tc>
        <w:tc>
          <w:tcPr>
            <w:tcW w:w="90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numPr>
                <w:ilvl w:val="0"/>
                <w:numId w:val="2"/>
              </w:numPr>
              <w:snapToGrid w:val="0"/>
              <w:spacing w:line="288" w:lineRule="auto"/>
              <w:jc w:val="center"/>
              <w:rPr>
                <w:rFonts w:ascii="宋体" w:hAnsi="宋体"/>
                <w:sz w:val="24"/>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jc w:val="center"/>
              <w:rPr>
                <w:rFonts w:ascii="宋体" w:hAnsi="宋体" w:cs="宋体"/>
                <w:sz w:val="24"/>
              </w:rPr>
            </w:pPr>
            <w:r>
              <w:rPr>
                <w:rFonts w:hint="eastAsia" w:ascii="宋体" w:hAnsi="宋体" w:cs="宋体"/>
                <w:sz w:val="24"/>
              </w:rPr>
              <w:t>项目经费使用计划和预算明细</w:t>
            </w:r>
          </w:p>
        </w:tc>
        <w:tc>
          <w:tcPr>
            <w:tcW w:w="6123" w:type="dxa"/>
            <w:tcBorders>
              <w:top w:val="single" w:color="auto" w:sz="6" w:space="0"/>
              <w:left w:val="single" w:color="auto" w:sz="6" w:space="0"/>
              <w:bottom w:val="single" w:color="auto" w:sz="6" w:space="0"/>
              <w:right w:val="single" w:color="auto" w:sz="6" w:space="0"/>
            </w:tcBorders>
            <w:noWrap w:val="0"/>
            <w:vAlign w:val="center"/>
          </w:tcPr>
          <w:p>
            <w:pPr>
              <w:snapToGrid w:val="0"/>
              <w:spacing w:line="288" w:lineRule="auto"/>
              <w:rPr>
                <w:rFonts w:ascii="宋体" w:hAnsi="宋体"/>
                <w:sz w:val="24"/>
              </w:rPr>
            </w:pPr>
            <w:r>
              <w:rPr>
                <w:rFonts w:hint="eastAsia" w:ascii="宋体" w:hAnsi="宋体"/>
                <w:sz w:val="24"/>
              </w:rPr>
              <w:t>项目经费使用计划和预算明细包括但不限于</w:t>
            </w:r>
            <w:r>
              <w:rPr>
                <w:rFonts w:hint="eastAsia" w:ascii="宋体" w:hAnsi="宋体"/>
                <w:sz w:val="24"/>
                <w:lang w:val="en-US" w:eastAsia="zh-CN"/>
              </w:rPr>
              <w:t>培训导师费用</w:t>
            </w:r>
            <w:r>
              <w:rPr>
                <w:rFonts w:hint="eastAsia" w:ascii="宋体" w:hAnsi="宋体"/>
                <w:sz w:val="24"/>
              </w:rPr>
              <w:t>、</w:t>
            </w:r>
            <w:r>
              <w:rPr>
                <w:rFonts w:hint="eastAsia" w:ascii="宋体" w:hAnsi="宋体"/>
                <w:sz w:val="24"/>
                <w:lang w:val="en-US" w:eastAsia="zh-CN"/>
              </w:rPr>
              <w:t>场地费用</w:t>
            </w:r>
            <w:r>
              <w:rPr>
                <w:rFonts w:hint="eastAsia" w:ascii="宋体" w:hAnsi="宋体"/>
                <w:sz w:val="24"/>
              </w:rPr>
              <w:t>、培训</w:t>
            </w:r>
            <w:r>
              <w:rPr>
                <w:rFonts w:hint="eastAsia" w:ascii="宋体" w:hAnsi="宋体"/>
                <w:sz w:val="24"/>
                <w:lang w:val="en-US" w:eastAsia="zh-CN"/>
              </w:rPr>
              <w:t>物料</w:t>
            </w:r>
            <w:r>
              <w:rPr>
                <w:rFonts w:hint="eastAsia" w:ascii="宋体" w:hAnsi="宋体"/>
                <w:sz w:val="24"/>
              </w:rPr>
              <w:t>以及因项目开展而产生的其他费用：</w:t>
            </w:r>
          </w:p>
          <w:p>
            <w:pPr>
              <w:snapToGrid w:val="0"/>
              <w:spacing w:line="288" w:lineRule="auto"/>
              <w:rPr>
                <w:rFonts w:ascii="宋体" w:hAnsi="宋体"/>
                <w:sz w:val="24"/>
              </w:rPr>
            </w:pPr>
            <w:r>
              <w:rPr>
                <w:rFonts w:hint="eastAsia" w:ascii="宋体" w:hAnsi="宋体"/>
                <w:sz w:val="24"/>
              </w:rPr>
              <w:t>具有合理、详细的项目经费使用计划和预算明细，对工作中各项可能的支出考虑全面细致，能确保项目顺利实施，得</w:t>
            </w:r>
            <w:r>
              <w:rPr>
                <w:rFonts w:hint="eastAsia" w:ascii="宋体" w:hAnsi="宋体"/>
                <w:sz w:val="24"/>
                <w:lang w:val="en-US" w:eastAsia="zh-CN"/>
              </w:rPr>
              <w:t>10—15</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具有较为合理、详细的项目经费使用计划和预算明细，对工作中各项可能的支出考虑较为全面但不够细致，基本能确保项目顺利实施，得</w:t>
            </w:r>
            <w:r>
              <w:rPr>
                <w:rFonts w:hint="eastAsia" w:ascii="宋体" w:hAnsi="宋体"/>
                <w:sz w:val="24"/>
                <w:lang w:val="en-US" w:eastAsia="zh-CN"/>
              </w:rPr>
              <w:t>5—9</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不够合理、项目经费使用计划和预算明细不够明确、不够细致，对工作中各项可能的支出考虑不够全面，勉强能确保项目的顺利实施，得</w:t>
            </w:r>
            <w:r>
              <w:rPr>
                <w:rFonts w:hint="eastAsia" w:ascii="宋体" w:hAnsi="宋体"/>
                <w:sz w:val="24"/>
                <w:lang w:val="en-US" w:eastAsia="zh-CN"/>
              </w:rPr>
              <w:t>1—4</w:t>
            </w:r>
            <w:r>
              <w:rPr>
                <w:rFonts w:hint="eastAsia" w:ascii="宋体" w:hAnsi="宋体"/>
                <w:sz w:val="24"/>
              </w:rPr>
              <w:t>分；</w:t>
            </w:r>
          </w:p>
          <w:p>
            <w:pPr>
              <w:snapToGrid w:val="0"/>
              <w:spacing w:line="288" w:lineRule="auto"/>
              <w:rPr>
                <w:rFonts w:ascii="宋体" w:hAnsi="宋体"/>
                <w:sz w:val="24"/>
              </w:rPr>
            </w:pPr>
            <w:r>
              <w:rPr>
                <w:rFonts w:hint="eastAsia" w:ascii="宋体" w:hAnsi="宋体"/>
                <w:sz w:val="24"/>
              </w:rPr>
              <w:t>无或其他不得分。</w:t>
            </w:r>
          </w:p>
        </w:tc>
        <w:tc>
          <w:tcPr>
            <w:tcW w:w="90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jc w:val="center"/>
              <w:rPr>
                <w:rFonts w:hint="default" w:ascii="宋体" w:hAnsi="宋体" w:eastAsia="宋体"/>
                <w:sz w:val="24"/>
                <w:lang w:val="en-US" w:eastAsia="zh-CN"/>
              </w:rPr>
            </w:pPr>
            <w:r>
              <w:rPr>
                <w:rFonts w:hint="eastAsia" w:ascii="宋体" w:hAnsi="宋体"/>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snapToGrid w:val="0"/>
              <w:spacing w:line="288" w:lineRule="auto"/>
              <w:jc w:val="center"/>
              <w:rPr>
                <w:rFonts w:ascii="宋体" w:hAnsi="宋体"/>
                <w:b/>
                <w:sz w:val="24"/>
              </w:rPr>
            </w:pPr>
            <w:r>
              <w:rPr>
                <w:rFonts w:hint="eastAsia" w:ascii="宋体" w:hAnsi="宋体"/>
                <w:b/>
                <w:sz w:val="24"/>
              </w:rPr>
              <w:t>二</w:t>
            </w:r>
          </w:p>
        </w:tc>
        <w:tc>
          <w:tcPr>
            <w:tcW w:w="8923" w:type="dxa"/>
            <w:gridSpan w:val="3"/>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ascii="宋体" w:hAnsi="宋体" w:cs="宋体"/>
                <w:b/>
                <w:sz w:val="24"/>
              </w:rPr>
            </w:pPr>
            <w:r>
              <w:rPr>
                <w:rFonts w:hint="eastAsia" w:ascii="宋体" w:hAnsi="宋体"/>
                <w:b/>
                <w:sz w:val="24"/>
              </w:rPr>
              <w:t>商务部分（合计</w:t>
            </w:r>
            <w:r>
              <w:rPr>
                <w:rFonts w:hint="eastAsia" w:ascii="宋体" w:hAnsi="宋体"/>
                <w:b/>
                <w:sz w:val="24"/>
                <w:lang w:val="en-US" w:eastAsia="zh-CN"/>
              </w:rPr>
              <w:t>3</w:t>
            </w:r>
            <w:r>
              <w:rPr>
                <w:rFonts w:ascii="宋体" w:hAnsi="宋体"/>
                <w:b/>
                <w:sz w:val="24"/>
              </w:rPr>
              <w:t>5</w:t>
            </w:r>
            <w:r>
              <w:rPr>
                <w:rFonts w:hint="eastAsia" w:ascii="宋体" w:hAnsi="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numPr>
                <w:ilvl w:val="0"/>
                <w:numId w:val="3"/>
              </w:numPr>
              <w:snapToGrid w:val="0"/>
              <w:spacing w:line="288" w:lineRule="auto"/>
              <w:jc w:val="center"/>
              <w:rPr>
                <w:rFonts w:ascii="宋体" w:hAnsi="宋体"/>
                <w:sz w:val="24"/>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资质及信誉状况</w:t>
            </w:r>
          </w:p>
        </w:tc>
        <w:tc>
          <w:tcPr>
            <w:tcW w:w="6123"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承办项目的相关资质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报价人近5年以来获得的行业奖项证书或相关服务满意度证明材料等，每个得2分，最高10分。</w:t>
            </w:r>
          </w:p>
        </w:tc>
        <w:tc>
          <w:tcPr>
            <w:tcW w:w="90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ascii="宋体" w:hAnsi="宋体" w:cs="宋体"/>
                <w:sz w:val="24"/>
              </w:rPr>
            </w:pPr>
            <w:r>
              <w:rPr>
                <w:rFonts w:hint="eastAsia" w:ascii="宋体" w:hAnsi="宋体" w:cs="宋体"/>
                <w:sz w:val="24"/>
              </w:rPr>
              <w:t>1</w:t>
            </w:r>
            <w:r>
              <w:rPr>
                <w:rFonts w:ascii="宋体" w:hAnsi="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3" w:hRule="atLeast"/>
          <w:jc w:val="center"/>
        </w:trPr>
        <w:tc>
          <w:tcPr>
            <w:tcW w:w="793" w:type="dxa"/>
            <w:tcBorders>
              <w:top w:val="single" w:color="auto" w:sz="6" w:space="0"/>
              <w:left w:val="single" w:color="auto" w:sz="12" w:space="0"/>
              <w:bottom w:val="single" w:color="auto" w:sz="6" w:space="0"/>
              <w:right w:val="single" w:color="auto" w:sz="6" w:space="0"/>
            </w:tcBorders>
            <w:noWrap w:val="0"/>
            <w:vAlign w:val="center"/>
          </w:tcPr>
          <w:p>
            <w:pPr>
              <w:numPr>
                <w:ilvl w:val="0"/>
                <w:numId w:val="3"/>
              </w:numPr>
              <w:snapToGrid w:val="0"/>
              <w:spacing w:line="288" w:lineRule="auto"/>
              <w:jc w:val="center"/>
              <w:rPr>
                <w:rFonts w:ascii="宋体" w:hAnsi="宋体"/>
                <w:sz w:val="24"/>
              </w:rPr>
            </w:pPr>
          </w:p>
        </w:tc>
        <w:tc>
          <w:tcPr>
            <w:tcW w:w="1900"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服务团队情况</w:t>
            </w:r>
            <w:r>
              <w:rPr>
                <w:rFonts w:hint="eastAsia" w:ascii="宋体" w:hAnsi="宋体" w:eastAsia="宋体" w:cs="Times New Roman"/>
                <w:kern w:val="2"/>
                <w:sz w:val="24"/>
                <w:szCs w:val="24"/>
                <w:lang w:val="en-US" w:eastAsia="zh-CN" w:bidi="ar-SA"/>
              </w:rPr>
              <w:br w:type="textWrapping"/>
            </w:r>
          </w:p>
        </w:tc>
        <w:tc>
          <w:tcPr>
            <w:tcW w:w="6123" w:type="dxa"/>
            <w:tcBorders>
              <w:top w:val="single" w:color="auto" w:sz="6" w:space="0"/>
              <w:left w:val="single" w:color="auto" w:sz="6" w:space="0"/>
              <w:bottom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针对比选申请人对本项目的项目负责人、团队人员组成及经验、能力进行打分：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1.团队结构合理、经验丰富、分工明晰，综合水平优秀，得12</w:t>
            </w:r>
            <w:r>
              <w:rPr>
                <w:rFonts w:hint="eastAsia" w:ascii="宋体" w:hAnsi="宋体" w:cs="Times New Roman"/>
                <w:bCs/>
                <w:kern w:val="2"/>
                <w:sz w:val="24"/>
                <w:szCs w:val="24"/>
                <w:lang w:val="en-US" w:eastAsia="zh-CN" w:bidi="ar-SA"/>
              </w:rPr>
              <w:t>—</w:t>
            </w:r>
            <w:r>
              <w:rPr>
                <w:rFonts w:hint="eastAsia" w:ascii="宋体" w:hAnsi="宋体" w:eastAsia="宋体" w:cs="Times New Roman"/>
                <w:bCs/>
                <w:kern w:val="2"/>
                <w:sz w:val="24"/>
                <w:szCs w:val="24"/>
                <w:lang w:val="en-US" w:eastAsia="zh-CN" w:bidi="ar-SA"/>
              </w:rPr>
              <w:t>15分；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2.团队结构、整体经验和水平一般，得7</w:t>
            </w:r>
            <w:r>
              <w:rPr>
                <w:rFonts w:hint="eastAsia" w:ascii="宋体" w:hAnsi="宋体" w:cs="Times New Roman"/>
                <w:bCs/>
                <w:kern w:val="2"/>
                <w:sz w:val="24"/>
                <w:szCs w:val="24"/>
                <w:lang w:val="en-US" w:eastAsia="zh-CN" w:bidi="ar-SA"/>
              </w:rPr>
              <w:t>—</w:t>
            </w:r>
            <w:r>
              <w:rPr>
                <w:rFonts w:hint="eastAsia" w:ascii="宋体" w:hAnsi="宋体" w:eastAsia="宋体" w:cs="Times New Roman"/>
                <w:bCs/>
                <w:kern w:val="2"/>
                <w:sz w:val="24"/>
                <w:szCs w:val="24"/>
                <w:lang w:val="en-US" w:eastAsia="zh-CN" w:bidi="ar-SA"/>
              </w:rPr>
              <w:t>11分；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right="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3.团队结构，整体经验水平较低，得1</w:t>
            </w:r>
            <w:r>
              <w:rPr>
                <w:rFonts w:hint="eastAsia" w:ascii="宋体" w:hAnsi="宋体" w:cs="Times New Roman"/>
                <w:bCs/>
                <w:kern w:val="2"/>
                <w:sz w:val="24"/>
                <w:szCs w:val="24"/>
                <w:lang w:val="en-US" w:eastAsia="zh-CN" w:bidi="ar-SA"/>
              </w:rPr>
              <w:t>—</w:t>
            </w:r>
            <w:r>
              <w:rPr>
                <w:rFonts w:hint="eastAsia" w:ascii="宋体" w:hAnsi="宋体" w:eastAsia="宋体" w:cs="Times New Roman"/>
                <w:bCs/>
                <w:kern w:val="2"/>
                <w:sz w:val="24"/>
                <w:szCs w:val="24"/>
                <w:lang w:val="en-US" w:eastAsia="zh-CN" w:bidi="ar-SA"/>
              </w:rPr>
              <w:t>6分；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4.未提供相关方案不得分。</w:t>
            </w:r>
          </w:p>
        </w:tc>
        <w:tc>
          <w:tcPr>
            <w:tcW w:w="900" w:type="dxa"/>
            <w:tcBorders>
              <w:top w:val="single" w:color="auto" w:sz="6" w:space="0"/>
              <w:left w:val="single" w:color="auto" w:sz="6"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hint="default" w:ascii="宋体" w:hAnsi="宋体" w:eastAsia="宋体" w:cs="宋体"/>
                <w:sz w:val="24"/>
                <w:lang w:val="en-US" w:eastAsia="zh-CN"/>
              </w:rPr>
            </w:pPr>
            <w:r>
              <w:rPr>
                <w:rFonts w:hint="eastAsia" w:ascii="宋体" w:hAnsi="宋体" w:cs="宋体"/>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793" w:type="dxa"/>
            <w:tcBorders>
              <w:top w:val="single" w:color="auto" w:sz="6" w:space="0"/>
              <w:left w:val="single" w:color="auto" w:sz="12" w:space="0"/>
              <w:right w:val="single" w:color="auto" w:sz="6" w:space="0"/>
            </w:tcBorders>
            <w:noWrap w:val="0"/>
            <w:vAlign w:val="center"/>
          </w:tcPr>
          <w:p>
            <w:pPr>
              <w:numPr>
                <w:ilvl w:val="0"/>
                <w:numId w:val="3"/>
              </w:numPr>
              <w:snapToGrid w:val="0"/>
              <w:spacing w:line="288" w:lineRule="auto"/>
              <w:jc w:val="center"/>
              <w:rPr>
                <w:rFonts w:ascii="宋体" w:hAnsi="宋体"/>
                <w:sz w:val="24"/>
              </w:rPr>
            </w:pPr>
          </w:p>
        </w:tc>
        <w:tc>
          <w:tcPr>
            <w:tcW w:w="1900" w:type="dxa"/>
            <w:tcBorders>
              <w:top w:val="single" w:color="auto" w:sz="6" w:space="0"/>
              <w:left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业绩情况</w:t>
            </w:r>
          </w:p>
        </w:tc>
        <w:tc>
          <w:tcPr>
            <w:tcW w:w="6123" w:type="dxa"/>
            <w:tcBorders>
              <w:top w:val="single" w:color="auto" w:sz="6" w:space="0"/>
              <w:left w:val="single" w:color="auto" w:sz="6" w:space="0"/>
              <w:right w:val="single" w:color="auto" w:sz="6"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 w:lineRule="atLeast"/>
              <w:ind w:left="0" w:leftChars="0" w:right="0" w:rightChars="0"/>
              <w:jc w:val="both"/>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提供近3年内同类项目业绩，需提供合同复印件或相关证明材料，每提供一项得2分，最高10分。</w:t>
            </w:r>
          </w:p>
        </w:tc>
        <w:tc>
          <w:tcPr>
            <w:tcW w:w="900" w:type="dxa"/>
            <w:tcBorders>
              <w:top w:val="single" w:color="auto" w:sz="6" w:space="0"/>
              <w:left w:val="single" w:color="auto" w:sz="6" w:space="0"/>
              <w:right w:val="single" w:color="auto" w:sz="12" w:space="0"/>
            </w:tcBorders>
            <w:noWrap w:val="0"/>
            <w:vAlign w:val="center"/>
          </w:tcPr>
          <w:p>
            <w:pPr>
              <w:snapToGrid w:val="0"/>
              <w:spacing w:line="288" w:lineRule="auto"/>
              <w:ind w:left="-78" w:leftChars="-37" w:right="-73" w:rightChars="-35"/>
              <w:jc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793" w:type="dxa"/>
            <w:tcBorders>
              <w:top w:val="single" w:color="auto" w:sz="4" w:space="0"/>
              <w:left w:val="single" w:color="auto" w:sz="12" w:space="0"/>
              <w:bottom w:val="single" w:color="auto" w:sz="4" w:space="0"/>
              <w:right w:val="single" w:color="auto" w:sz="4" w:space="0"/>
            </w:tcBorders>
            <w:noWrap w:val="0"/>
            <w:vAlign w:val="center"/>
          </w:tcPr>
          <w:p>
            <w:pPr>
              <w:snapToGrid w:val="0"/>
              <w:spacing w:line="288" w:lineRule="auto"/>
              <w:jc w:val="center"/>
              <w:rPr>
                <w:rFonts w:ascii="宋体" w:hAnsi="宋体"/>
                <w:sz w:val="24"/>
              </w:rPr>
            </w:pPr>
            <w:r>
              <w:rPr>
                <w:rFonts w:hint="eastAsia" w:ascii="宋体" w:hAnsi="宋体"/>
                <w:sz w:val="24"/>
              </w:rPr>
              <w:t>三</w:t>
            </w:r>
          </w:p>
        </w:tc>
        <w:tc>
          <w:tcPr>
            <w:tcW w:w="8923" w:type="dxa"/>
            <w:gridSpan w:val="3"/>
            <w:tcBorders>
              <w:top w:val="single" w:color="auto" w:sz="4" w:space="0"/>
              <w:left w:val="single" w:color="auto" w:sz="4" w:space="0"/>
              <w:bottom w:val="single" w:color="auto" w:sz="4" w:space="0"/>
              <w:right w:val="single" w:color="auto" w:sz="12" w:space="0"/>
            </w:tcBorders>
            <w:noWrap w:val="0"/>
            <w:vAlign w:val="center"/>
          </w:tcPr>
          <w:p>
            <w:pPr>
              <w:snapToGrid w:val="0"/>
              <w:spacing w:line="288" w:lineRule="auto"/>
              <w:ind w:left="-78" w:leftChars="-37" w:right="-73" w:rightChars="-35"/>
              <w:jc w:val="center"/>
              <w:rPr>
                <w:rFonts w:ascii="宋体"/>
                <w:bCs/>
                <w:i/>
                <w:sz w:val="24"/>
                <w:shd w:val="pct10" w:color="auto" w:fill="FFFFFF"/>
              </w:rPr>
            </w:pPr>
            <w:r>
              <w:rPr>
                <w:rFonts w:hint="eastAsia" w:ascii="宋体" w:hAnsi="宋体"/>
                <w:b/>
                <w:sz w:val="24"/>
              </w:rPr>
              <w:t>价格部分（合计</w:t>
            </w:r>
            <w:r>
              <w:rPr>
                <w:rFonts w:ascii="宋体" w:hAnsi="宋体"/>
                <w:b/>
                <w:sz w:val="24"/>
              </w:rPr>
              <w:t>1</w:t>
            </w:r>
            <w:r>
              <w:rPr>
                <w:rFonts w:hint="eastAsia" w:ascii="宋体" w:hAnsi="宋体"/>
                <w:b/>
                <w:sz w:val="24"/>
                <w:lang w:val="en-US" w:eastAsia="zh-CN"/>
              </w:rPr>
              <w:t>5</w:t>
            </w:r>
            <w:r>
              <w:rPr>
                <w:rFonts w:hint="eastAsia" w:ascii="宋体" w:hAnsi="宋体"/>
                <w:b/>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793" w:type="dxa"/>
            <w:tcBorders>
              <w:top w:val="single" w:color="auto" w:sz="4" w:space="0"/>
              <w:left w:val="single" w:color="auto" w:sz="12" w:space="0"/>
              <w:bottom w:val="single" w:color="auto" w:sz="6" w:space="0"/>
              <w:right w:val="single" w:color="auto" w:sz="4" w:space="0"/>
            </w:tcBorders>
            <w:noWrap w:val="0"/>
            <w:vAlign w:val="center"/>
          </w:tcPr>
          <w:p>
            <w:pPr>
              <w:numPr>
                <w:ilvl w:val="0"/>
                <w:numId w:val="4"/>
              </w:numPr>
              <w:snapToGrid w:val="0"/>
              <w:spacing w:line="288" w:lineRule="auto"/>
              <w:jc w:val="center"/>
              <w:rPr>
                <w:rFonts w:ascii="宋体" w:hAnsi="宋体"/>
                <w:sz w:val="24"/>
              </w:rPr>
            </w:pPr>
          </w:p>
        </w:tc>
        <w:tc>
          <w:tcPr>
            <w:tcW w:w="1900" w:type="dxa"/>
            <w:tcBorders>
              <w:top w:val="single" w:color="auto" w:sz="4" w:space="0"/>
              <w:left w:val="single" w:color="auto" w:sz="4" w:space="0"/>
              <w:bottom w:val="single" w:color="auto" w:sz="6" w:space="0"/>
              <w:right w:val="single" w:color="auto" w:sz="4" w:space="0"/>
            </w:tcBorders>
            <w:noWrap w:val="0"/>
            <w:vAlign w:val="center"/>
          </w:tcPr>
          <w:p>
            <w:pPr>
              <w:snapToGrid w:val="0"/>
              <w:spacing w:line="288" w:lineRule="auto"/>
              <w:jc w:val="center"/>
              <w:rPr>
                <w:rFonts w:ascii="宋体" w:hAnsi="宋体"/>
                <w:sz w:val="24"/>
              </w:rPr>
            </w:pPr>
            <w:r>
              <w:rPr>
                <w:rFonts w:hint="eastAsia" w:ascii="宋体" w:hAnsi="宋体"/>
                <w:sz w:val="24"/>
              </w:rPr>
              <w:t>投标报价</w:t>
            </w:r>
          </w:p>
        </w:tc>
        <w:tc>
          <w:tcPr>
            <w:tcW w:w="6123" w:type="dxa"/>
            <w:tcBorders>
              <w:top w:val="single" w:color="auto" w:sz="4" w:space="0"/>
              <w:left w:val="single" w:color="auto" w:sz="4" w:space="0"/>
              <w:bottom w:val="single" w:color="auto" w:sz="6" w:space="0"/>
              <w:right w:val="single" w:color="auto" w:sz="4" w:space="0"/>
            </w:tcBorders>
            <w:noWrap w:val="0"/>
            <w:vAlign w:val="center"/>
          </w:tcPr>
          <w:p>
            <w:pPr>
              <w:snapToGrid w:val="0"/>
              <w:spacing w:line="288" w:lineRule="auto"/>
              <w:rPr>
                <w:rFonts w:ascii="宋体" w:hAnsi="宋体"/>
                <w:bCs/>
                <w:sz w:val="24"/>
              </w:rPr>
            </w:pPr>
            <w:r>
              <w:rPr>
                <w:rFonts w:hint="eastAsia" w:ascii="宋体" w:hAnsi="宋体"/>
                <w:bCs/>
                <w:sz w:val="24"/>
              </w:rPr>
              <w:t>满足询价文件要求且报价最低的为评标基准价，其价格为满分，其他报价人的价格分统一按照下列公式计算：报价得分=（评标基准价/</w:t>
            </w:r>
            <w:r>
              <w:rPr>
                <w:rFonts w:hint="eastAsia" w:ascii="宋体" w:hAnsi="宋体"/>
                <w:bCs/>
                <w:sz w:val="24"/>
                <w:lang w:val="en-US" w:eastAsia="zh-CN"/>
              </w:rPr>
              <w:t>比选</w:t>
            </w:r>
            <w:r>
              <w:rPr>
                <w:rFonts w:hint="eastAsia" w:ascii="宋体" w:hAnsi="宋体"/>
                <w:bCs/>
                <w:sz w:val="24"/>
              </w:rPr>
              <w:t>报价）×15。</w:t>
            </w:r>
          </w:p>
        </w:tc>
        <w:tc>
          <w:tcPr>
            <w:tcW w:w="900" w:type="dxa"/>
            <w:tcBorders>
              <w:top w:val="single" w:color="auto" w:sz="4" w:space="0"/>
              <w:left w:val="single" w:color="auto" w:sz="4" w:space="0"/>
              <w:bottom w:val="single" w:color="auto" w:sz="6" w:space="0"/>
              <w:right w:val="single" w:color="auto" w:sz="12" w:space="0"/>
            </w:tcBorders>
            <w:noWrap w:val="0"/>
            <w:vAlign w:val="center"/>
          </w:tcPr>
          <w:p>
            <w:pPr>
              <w:snapToGrid w:val="0"/>
              <w:spacing w:line="288" w:lineRule="auto"/>
              <w:ind w:left="-78" w:leftChars="-37" w:right="-73" w:rightChars="-35"/>
              <w:jc w:val="center"/>
              <w:rPr>
                <w:rFonts w:hint="default" w:ascii="宋体" w:hAnsi="宋体" w:eastAsia="宋体" w:cs="宋体"/>
                <w:sz w:val="24"/>
                <w:lang w:val="en-US" w:eastAsia="zh-CN"/>
              </w:rPr>
            </w:pPr>
            <w:r>
              <w:rPr>
                <w:rFonts w:hint="eastAsia" w:ascii="宋体" w:hAnsi="宋体" w:cs="宋体"/>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816" w:type="dxa"/>
            <w:gridSpan w:val="3"/>
            <w:tcBorders>
              <w:top w:val="single" w:color="auto" w:sz="6" w:space="0"/>
              <w:left w:val="single" w:color="auto" w:sz="12" w:space="0"/>
              <w:bottom w:val="single" w:color="auto" w:sz="12" w:space="0"/>
              <w:right w:val="single" w:color="auto" w:sz="6" w:space="0"/>
            </w:tcBorders>
            <w:noWrap w:val="0"/>
            <w:vAlign w:val="center"/>
          </w:tcPr>
          <w:p>
            <w:pPr>
              <w:snapToGrid w:val="0"/>
              <w:spacing w:line="288" w:lineRule="auto"/>
              <w:ind w:left="-78" w:leftChars="-37" w:right="-73" w:rightChars="-35"/>
              <w:jc w:val="center"/>
              <w:rPr>
                <w:rFonts w:ascii="宋体" w:hAnsi="宋体" w:cs="宋体"/>
                <w:b/>
                <w:sz w:val="24"/>
                <w:u w:val="double"/>
              </w:rPr>
            </w:pPr>
            <w:r>
              <w:rPr>
                <w:rFonts w:hint="eastAsia" w:ascii="宋体" w:hAnsi="宋体"/>
                <w:b/>
                <w:sz w:val="24"/>
                <w:u w:val="double"/>
              </w:rPr>
              <w:t>合计</w:t>
            </w:r>
          </w:p>
        </w:tc>
        <w:tc>
          <w:tcPr>
            <w:tcW w:w="900" w:type="dxa"/>
            <w:tcBorders>
              <w:top w:val="single" w:color="auto" w:sz="6" w:space="0"/>
              <w:left w:val="single" w:color="auto" w:sz="6" w:space="0"/>
              <w:bottom w:val="single" w:color="auto" w:sz="12" w:space="0"/>
              <w:right w:val="single" w:color="auto" w:sz="12" w:space="0"/>
            </w:tcBorders>
            <w:noWrap w:val="0"/>
            <w:vAlign w:val="center"/>
          </w:tcPr>
          <w:p>
            <w:pPr>
              <w:snapToGrid w:val="0"/>
              <w:spacing w:line="288" w:lineRule="auto"/>
              <w:ind w:left="-78" w:leftChars="-37" w:right="-73" w:rightChars="-35"/>
              <w:jc w:val="center"/>
              <w:rPr>
                <w:rFonts w:ascii="宋体" w:hAnsi="宋体" w:cs="宋体"/>
                <w:b/>
                <w:sz w:val="24"/>
                <w:u w:val="double"/>
              </w:rPr>
            </w:pPr>
            <w:r>
              <w:rPr>
                <w:rFonts w:hint="eastAsia" w:ascii="宋体" w:hAnsi="宋体" w:cs="宋体"/>
                <w:b/>
                <w:sz w:val="24"/>
                <w:u w:val="double"/>
              </w:rPr>
              <w:t>100</w:t>
            </w:r>
          </w:p>
        </w:tc>
      </w:tr>
    </w:tbl>
    <w:p>
      <w:pPr>
        <w:keepNext w:val="0"/>
        <w:keepLines w:val="0"/>
        <w:pageBreakBefore w:val="0"/>
        <w:kinsoku/>
        <w:wordWrap/>
        <w:overflowPunct/>
        <w:topLinePunct w:val="0"/>
        <w:autoSpaceDE/>
        <w:autoSpaceDN/>
        <w:bidi w:val="0"/>
        <w:spacing w:before="0" w:after="0" w:line="560" w:lineRule="exact"/>
        <w:jc w:val="both"/>
        <w:textAlignment w:val="auto"/>
        <w:rPr>
          <w:rFonts w:hint="default" w:ascii="仿宋_GB2312" w:hAnsi="仿宋_GB2312" w:eastAsia="仿宋_GB2312" w:cs="仿宋_GB2312"/>
          <w:sz w:val="32"/>
          <w:szCs w:val="32"/>
          <w:lang w:val="en-US" w:eastAsia="zh-CN"/>
        </w:rPr>
      </w:pPr>
    </w:p>
    <w:sectPr>
      <w:pgSz w:w="11906" w:h="16838"/>
      <w:pgMar w:top="2154"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40"/>
                      </w:rPr>
                    </w:pPr>
                    <w:r>
                      <w:rPr>
                        <w:rFonts w:hint="eastAsia" w:asciiTheme="minorEastAsia" w:hAnsiTheme="minorEastAsia" w:eastAsiaTheme="minorEastAsia" w:cstheme="minorEastAsia"/>
                        <w:sz w:val="24"/>
                        <w:szCs w:val="40"/>
                      </w:rPr>
                      <w:fldChar w:fldCharType="begin"/>
                    </w:r>
                    <w:r>
                      <w:rPr>
                        <w:rFonts w:hint="eastAsia" w:asciiTheme="minorEastAsia" w:hAnsiTheme="minorEastAsia" w:eastAsiaTheme="minorEastAsia" w:cstheme="minorEastAsia"/>
                        <w:sz w:val="24"/>
                        <w:szCs w:val="40"/>
                      </w:rPr>
                      <w:instrText xml:space="preserve"> PAGE  \* MERGEFORMAT </w:instrText>
                    </w:r>
                    <w:r>
                      <w:rPr>
                        <w:rFonts w:hint="eastAsia" w:asciiTheme="minorEastAsia" w:hAnsiTheme="minorEastAsia" w:eastAsiaTheme="minorEastAsia" w:cstheme="minorEastAsia"/>
                        <w:sz w:val="24"/>
                        <w:szCs w:val="40"/>
                      </w:rPr>
                      <w:fldChar w:fldCharType="separate"/>
                    </w:r>
                    <w:r>
                      <w:rPr>
                        <w:rFonts w:hint="eastAsia" w:asciiTheme="minorEastAsia" w:hAnsiTheme="minorEastAsia" w:eastAsiaTheme="minorEastAsia" w:cstheme="minorEastAsia"/>
                        <w:sz w:val="24"/>
                        <w:szCs w:val="40"/>
                      </w:rPr>
                      <w:t>1</w:t>
                    </w:r>
                    <w:r>
                      <w:rPr>
                        <w:rFonts w:hint="eastAsia" w:asciiTheme="minorEastAsia" w:hAnsiTheme="minorEastAsia" w:eastAsiaTheme="minorEastAsia" w:cstheme="minorEastAsia"/>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5E2112"/>
    <w:multiLevelType w:val="multilevel"/>
    <w:tmpl w:val="385E21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C73457C"/>
    <w:multiLevelType w:val="multilevel"/>
    <w:tmpl w:val="6C73457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MWJjZjU4MzZmZTA1NmQ3MDFjNzE2OWUyMzhiMDUifQ=="/>
  </w:docVars>
  <w:rsids>
    <w:rsidRoot w:val="00000000"/>
    <w:rsid w:val="00934601"/>
    <w:rsid w:val="00C61A70"/>
    <w:rsid w:val="01CD414F"/>
    <w:rsid w:val="04BD77F0"/>
    <w:rsid w:val="05207B48"/>
    <w:rsid w:val="058B5BAB"/>
    <w:rsid w:val="061230C4"/>
    <w:rsid w:val="0705324B"/>
    <w:rsid w:val="07651059"/>
    <w:rsid w:val="082E1370"/>
    <w:rsid w:val="08393BA7"/>
    <w:rsid w:val="08C17080"/>
    <w:rsid w:val="09E56BDC"/>
    <w:rsid w:val="0A836851"/>
    <w:rsid w:val="0AC65F7A"/>
    <w:rsid w:val="0B4A34AC"/>
    <w:rsid w:val="0C135FE9"/>
    <w:rsid w:val="0D20767A"/>
    <w:rsid w:val="0EDB7E0F"/>
    <w:rsid w:val="10446E20"/>
    <w:rsid w:val="10C43C8C"/>
    <w:rsid w:val="10FB4858"/>
    <w:rsid w:val="11043202"/>
    <w:rsid w:val="122D778E"/>
    <w:rsid w:val="168555B1"/>
    <w:rsid w:val="175E473E"/>
    <w:rsid w:val="189664AC"/>
    <w:rsid w:val="189B140F"/>
    <w:rsid w:val="18A91A48"/>
    <w:rsid w:val="19230448"/>
    <w:rsid w:val="1926471D"/>
    <w:rsid w:val="193E5A3C"/>
    <w:rsid w:val="1A953AE9"/>
    <w:rsid w:val="1B242849"/>
    <w:rsid w:val="1C7530C6"/>
    <w:rsid w:val="1CD13C5D"/>
    <w:rsid w:val="1CF71A15"/>
    <w:rsid w:val="1F160FE9"/>
    <w:rsid w:val="1F566177"/>
    <w:rsid w:val="1FC8306D"/>
    <w:rsid w:val="20684CC4"/>
    <w:rsid w:val="21296313"/>
    <w:rsid w:val="21C8234E"/>
    <w:rsid w:val="25473008"/>
    <w:rsid w:val="254C7093"/>
    <w:rsid w:val="2AC418D3"/>
    <w:rsid w:val="2AE13CCA"/>
    <w:rsid w:val="2BB63A3A"/>
    <w:rsid w:val="2BC57DDF"/>
    <w:rsid w:val="2BDC3C8C"/>
    <w:rsid w:val="2CBE6AAF"/>
    <w:rsid w:val="2CDB6781"/>
    <w:rsid w:val="2CF77EA3"/>
    <w:rsid w:val="2D0649E3"/>
    <w:rsid w:val="2D343774"/>
    <w:rsid w:val="2E556795"/>
    <w:rsid w:val="2EC519AD"/>
    <w:rsid w:val="2EDD0058"/>
    <w:rsid w:val="306E6110"/>
    <w:rsid w:val="31D00C3A"/>
    <w:rsid w:val="31F15B08"/>
    <w:rsid w:val="32957643"/>
    <w:rsid w:val="375D5ADF"/>
    <w:rsid w:val="37BC5AD7"/>
    <w:rsid w:val="3A6440C7"/>
    <w:rsid w:val="3A8B51CE"/>
    <w:rsid w:val="3ACD0367"/>
    <w:rsid w:val="3ADD1F1E"/>
    <w:rsid w:val="3BAA666C"/>
    <w:rsid w:val="3BD861B0"/>
    <w:rsid w:val="3DEF163E"/>
    <w:rsid w:val="4008632D"/>
    <w:rsid w:val="41007870"/>
    <w:rsid w:val="41231694"/>
    <w:rsid w:val="42381199"/>
    <w:rsid w:val="427467FA"/>
    <w:rsid w:val="457E261E"/>
    <w:rsid w:val="470F2282"/>
    <w:rsid w:val="479B7B4B"/>
    <w:rsid w:val="4A6B325D"/>
    <w:rsid w:val="4B681AE6"/>
    <w:rsid w:val="4BEC1D1F"/>
    <w:rsid w:val="4D485B06"/>
    <w:rsid w:val="4EBB537E"/>
    <w:rsid w:val="4F1C7C8A"/>
    <w:rsid w:val="4FA47680"/>
    <w:rsid w:val="4FAB6AD0"/>
    <w:rsid w:val="514304D5"/>
    <w:rsid w:val="51E621D2"/>
    <w:rsid w:val="528E2372"/>
    <w:rsid w:val="53155422"/>
    <w:rsid w:val="54544A66"/>
    <w:rsid w:val="57175521"/>
    <w:rsid w:val="577D7886"/>
    <w:rsid w:val="579D1110"/>
    <w:rsid w:val="58312CD2"/>
    <w:rsid w:val="5847585E"/>
    <w:rsid w:val="59014908"/>
    <w:rsid w:val="59340D03"/>
    <w:rsid w:val="596B2EF1"/>
    <w:rsid w:val="59CD0181"/>
    <w:rsid w:val="5C9B0FAF"/>
    <w:rsid w:val="5D2015D0"/>
    <w:rsid w:val="5DDA5F27"/>
    <w:rsid w:val="5E1D5AF4"/>
    <w:rsid w:val="5ECA5E13"/>
    <w:rsid w:val="5F681F1D"/>
    <w:rsid w:val="60A3438D"/>
    <w:rsid w:val="60F64DFB"/>
    <w:rsid w:val="615B270C"/>
    <w:rsid w:val="62265BF1"/>
    <w:rsid w:val="63437ECC"/>
    <w:rsid w:val="64960A56"/>
    <w:rsid w:val="64C574CA"/>
    <w:rsid w:val="65572A49"/>
    <w:rsid w:val="67AB233E"/>
    <w:rsid w:val="682255F5"/>
    <w:rsid w:val="69F40D49"/>
    <w:rsid w:val="6BD03871"/>
    <w:rsid w:val="6BD3183F"/>
    <w:rsid w:val="6C4E5B82"/>
    <w:rsid w:val="6C9C4317"/>
    <w:rsid w:val="6E263D0D"/>
    <w:rsid w:val="6E4A2A04"/>
    <w:rsid w:val="6E6121E9"/>
    <w:rsid w:val="6F202848"/>
    <w:rsid w:val="6F951E07"/>
    <w:rsid w:val="70693363"/>
    <w:rsid w:val="74E7348C"/>
    <w:rsid w:val="7617155B"/>
    <w:rsid w:val="78A3698A"/>
    <w:rsid w:val="79CF5664"/>
    <w:rsid w:val="7AC81ADD"/>
    <w:rsid w:val="7B7D5FFE"/>
    <w:rsid w:val="7B9E5269"/>
    <w:rsid w:val="7BB91733"/>
    <w:rsid w:val="7CE263CC"/>
    <w:rsid w:val="7D6C22A2"/>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paragraph" w:customStyle="1" w:styleId="12">
    <w:name w:val="标题 5（有编号）（绿盟科技）"/>
    <w:basedOn w:val="1"/>
    <w:next w:val="1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3">
    <w:name w:val="正文（绿盟科技）"/>
    <w:autoRedefine/>
    <w:qFormat/>
    <w:uiPriority w:val="0"/>
    <w:pPr>
      <w:spacing w:line="300" w:lineRule="auto"/>
    </w:pPr>
    <w:rPr>
      <w:rFonts w:ascii="Arial" w:hAnsi="Arial" w:eastAsia="仿宋_GB2312" w:cs="黑体"/>
      <w:sz w:val="21"/>
      <w:szCs w:val="21"/>
      <w:lang w:val="en-US" w:eastAsia="zh-CN" w:bidi="ar-SA"/>
    </w:rPr>
  </w:style>
  <w:style w:type="paragraph" w:customStyle="1" w:styleId="14">
    <w:name w:val="表格文字"/>
    <w:basedOn w:val="15"/>
    <w:autoRedefine/>
    <w:qFormat/>
    <w:uiPriority w:val="0"/>
    <w:pPr>
      <w:widowControl w:val="0"/>
      <w:spacing w:before="25" w:after="25"/>
    </w:pPr>
    <w:rPr>
      <w:rFonts w:ascii="Calibri" w:hAnsi="Calibri" w:eastAsia="宋体" w:cs="Times New Roman"/>
      <w:bCs/>
      <w:spacing w:val="10"/>
      <w:sz w:val="24"/>
      <w:szCs w:val="24"/>
      <w:lang w:val="en-US" w:eastAsia="zh-CN" w:bidi="ar-SA"/>
    </w:rPr>
  </w:style>
  <w:style w:type="paragraph" w:customStyle="1" w:styleId="15">
    <w:name w:val="正文 New New"/>
    <w:next w:val="14"/>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6">
    <w:name w:val="font21"/>
    <w:basedOn w:val="10"/>
    <w:autoRedefine/>
    <w:qFormat/>
    <w:uiPriority w:val="0"/>
    <w:rPr>
      <w:rFonts w:ascii="宋体" w:hAnsi="宋体" w:eastAsia="宋体" w:cs="宋体"/>
      <w:color w:val="000000"/>
      <w:sz w:val="16"/>
      <w:szCs w:val="16"/>
      <w:u w:val="none"/>
    </w:rPr>
  </w:style>
  <w:style w:type="paragraph" w:customStyle="1" w:styleId="17">
    <w:name w:val="Other|1"/>
    <w:basedOn w:val="1"/>
    <w:autoRedefine/>
    <w:qFormat/>
    <w:uiPriority w:val="0"/>
    <w:pPr>
      <w:widowControl w:val="0"/>
      <w:shd w:val="clear" w:color="auto" w:fill="auto"/>
      <w:jc w:val="center"/>
    </w:pPr>
    <w:rPr>
      <w:rFonts w:ascii="宋体" w:hAnsi="宋体" w:eastAsia="宋体" w:cs="宋体"/>
      <w:sz w:val="32"/>
      <w:szCs w:val="32"/>
      <w:u w:val="none"/>
      <w:shd w:val="clear" w:color="auto" w:fill="auto"/>
      <w:lang w:val="zh-TW" w:eastAsia="zh-TW" w:bidi="zh-TW"/>
    </w:rPr>
  </w:style>
  <w:style w:type="paragraph" w:styleId="18">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6402</Words>
  <Characters>6578</Characters>
  <Lines>0</Lines>
  <Paragraphs>0</Paragraphs>
  <TotalTime>25</TotalTime>
  <ScaleCrop>false</ScaleCrop>
  <LinksUpToDate>false</LinksUpToDate>
  <CharactersWithSpaces>6648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2021-01-13T04:01:00Z</dcterms:created>
  <dc:creator>lenovo</dc:creator>
  <cp:lastModifiedBy>醉梦残夜</cp:lastModifiedBy>
  <cp:lastPrinted>2021-03-08T03:14:00Z</cp:lastPrinted>
  <dcterms:modified xsi:type="dcterms:W3CDTF">2024-07-03T01:31:57Z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A44A6A3C38F845B5ACACE1C1A9420C06_13</vt:lpwstr>
  </property>
</Properties>
</file>